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ADDF307" w14:textId="77777777">
      <w:pPr>
        <w:pBdr/>
        <w:spacing w:after="80" w:line="240" w:lineRule="auto"/>
        <w:ind/>
        <w:jc w:val="center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eastAsia="Open Sans" w:cs="Open Sans"/>
          <w:b/>
          <w:bCs/>
          <w:sz w:val="22"/>
          <w:szCs w:val="22"/>
        </w:rPr>
        <w:t xml:space="preserve">EDITAL DE CONVOCAÇÃO</w:t>
      </w:r>
      <w:r>
        <w:rPr>
          <w:rFonts w:ascii="Open Sans" w:hAnsi="Open Sans" w:eastAsia="Open Sans" w:cs="Open Sans"/>
          <w:b/>
          <w:bCs/>
          <w:sz w:val="22"/>
          <w:szCs w:val="22"/>
        </w:rPr>
      </w:r>
    </w:p>
    <w:p w14:paraId="16633BF6" w14:textId="77777777">
      <w:pPr>
        <w:pBdr/>
        <w:spacing w:after="80" w:line="240" w:lineRule="auto"/>
        <w:ind/>
        <w:jc w:val="center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eastAsia="Open Sans" w:cs="Open Sans"/>
          <w:b/>
          <w:bCs/>
          <w:sz w:val="22"/>
          <w:szCs w:val="22"/>
        </w:rPr>
        <w:t xml:space="preserve">ASSEMBLEIA GERAL EXTRAORDINÁRIA</w:t>
      </w:r>
      <w:r>
        <w:rPr>
          <w:rFonts w:ascii="Open Sans" w:hAnsi="Open Sans" w:eastAsia="Open Sans" w:cs="Open Sans"/>
          <w:b/>
          <w:bCs/>
          <w:sz w:val="22"/>
          <w:szCs w:val="22"/>
        </w:rPr>
      </w:r>
    </w:p>
    <w:p w14:paraId="35B5D43C" w14:textId="77777777">
      <w:pPr>
        <w:pBdr/>
        <w:spacing w:after="80" w:line="240" w:lineRule="auto"/>
        <w:ind/>
        <w:jc w:val="center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eastAsia="Open Sans" w:cs="Open Sans"/>
          <w:b/>
          <w:bCs/>
          <w:sz w:val="22"/>
          <w:szCs w:val="22"/>
        </w:rPr>
        <w:t xml:space="preserve">APROPAMPA – ASSOCIAÇÃO DOS PRODUTORES DO PAMPA GAÚCHO</w:t>
      </w:r>
      <w:r>
        <w:rPr>
          <w:rFonts w:ascii="Open Sans" w:hAnsi="Open Sans" w:eastAsia="Open Sans" w:cs="Open Sans"/>
          <w:b/>
          <w:bCs/>
          <w:sz w:val="22"/>
          <w:szCs w:val="22"/>
        </w:rPr>
      </w:r>
    </w:p>
    <w:p w14:paraId="1B9BC16A" w14:textId="77777777">
      <w:pPr>
        <w:pBdr/>
        <w:spacing w:after="80" w:line="240" w:lineRule="auto"/>
        <w:ind/>
        <w:jc w:val="both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eastAsia="Open Sans" w:cs="Open Sans"/>
          <w:b/>
          <w:bCs/>
          <w:sz w:val="22"/>
          <w:szCs w:val="22"/>
        </w:rPr>
      </w:r>
      <w:r>
        <w:rPr>
          <w:rFonts w:ascii="Open Sans" w:hAnsi="Open Sans" w:eastAsia="Open Sans" w:cs="Open Sans"/>
          <w:b/>
          <w:bCs/>
          <w:sz w:val="22"/>
          <w:szCs w:val="22"/>
        </w:rPr>
      </w:r>
    </w:p>
    <w:p w14:paraId="4157BB27" w14:textId="6E8667B9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sz w:val="22"/>
          <w:szCs w:val="22"/>
        </w:rPr>
        <w:t xml:space="preserve">O Presidente da </w:t>
      </w:r>
      <w:r>
        <w:rPr>
          <w:rFonts w:ascii="Open Sans" w:hAnsi="Open Sans" w:eastAsia="Open Sans" w:cs="Open Sans"/>
          <w:b/>
          <w:bCs/>
          <w:sz w:val="22"/>
          <w:szCs w:val="22"/>
        </w:rPr>
        <w:t xml:space="preserve">APROPAMPA – Associação dos Produtores do Pampa Gaúcho</w:t>
      </w:r>
      <w:r>
        <w:rPr>
          <w:rFonts w:ascii="Open Sans" w:hAnsi="Open Sans" w:eastAsia="Open Sans" w:cs="Open Sans"/>
          <w:sz w:val="22"/>
          <w:szCs w:val="22"/>
        </w:rPr>
        <w:t xml:space="preserve">, no uso das atribuições que lhe conferem os artigos 22 e 31 do Estatuto Social, convoca todos os associados em dia com suas obrigações sociais para participarem da ASSEMBLEIA GERAL EXTRAORDINÁRIA, a realizar-se de forma virtual, por videoconferência, no </w:t>
      </w:r>
      <w:r>
        <w:rPr>
          <w:rFonts w:ascii="Open Sans" w:hAnsi="Open Sans" w:eastAsia="Open Sans" w:cs="Open Sans"/>
          <w:b/>
          <w:bCs/>
          <w:color w:val="ee0000"/>
          <w:sz w:val="22"/>
          <w:szCs w:val="22"/>
        </w:rPr>
        <w:t xml:space="preserve">dia </w:t>
      </w:r>
      <w:r>
        <w:rPr>
          <w:rFonts w:ascii="Open Sans" w:hAnsi="Open Sans" w:eastAsia="Open Sans" w:cs="Open Sans"/>
          <w:b/>
          <w:bCs/>
          <w:color w:val="ee0000"/>
          <w:sz w:val="22"/>
          <w:szCs w:val="22"/>
        </w:rPr>
        <w:t xml:space="preserve">28 </w:t>
      </w:r>
      <w:r>
        <w:rPr>
          <w:rFonts w:ascii="Open Sans" w:hAnsi="Open Sans" w:eastAsia="Open Sans" w:cs="Open Sans"/>
          <w:b/>
          <w:bCs/>
          <w:color w:val="ee0000"/>
          <w:sz w:val="22"/>
          <w:szCs w:val="22"/>
        </w:rPr>
        <w:t xml:space="preserve">de </w:t>
      </w:r>
      <w:r>
        <w:rPr>
          <w:rFonts w:ascii="Open Sans" w:hAnsi="Open Sans" w:eastAsia="Open Sans" w:cs="Open Sans"/>
          <w:b/>
          <w:bCs/>
          <w:color w:val="ee0000"/>
          <w:sz w:val="22"/>
          <w:szCs w:val="22"/>
        </w:rPr>
        <w:t xml:space="preserve">setembro </w:t>
      </w:r>
      <w:r>
        <w:rPr>
          <w:rFonts w:ascii="Open Sans" w:hAnsi="Open Sans" w:eastAsia="Open Sans" w:cs="Open Sans"/>
          <w:b/>
          <w:bCs/>
          <w:color w:val="ee0000"/>
          <w:sz w:val="22"/>
          <w:szCs w:val="22"/>
        </w:rPr>
        <w:t xml:space="preserve">de 2026</w:t>
      </w:r>
      <w:r>
        <w:rPr>
          <w:rFonts w:ascii="Open Sans" w:hAnsi="Open Sans" w:eastAsia="Open Sans" w:cs="Open Sans"/>
          <w:sz w:val="22"/>
          <w:szCs w:val="22"/>
        </w:rPr>
        <w:t xml:space="preserve">, através do link:</w:t>
      </w:r>
      <w:r>
        <w:rPr>
          <w:rFonts w:ascii="Open Sans" w:hAnsi="Open Sans" w:eastAsia="Open Sans" w:cs="Open Sans"/>
          <w:sz w:val="22"/>
          <w:szCs w:val="22"/>
        </w:rPr>
      </w:r>
    </w:p>
    <w:p w14:paraId="5DB3911F" w14:textId="77777777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sz w:val="22"/>
          <w:szCs w:val="22"/>
        </w:rPr>
      </w:r>
      <w:r>
        <w:rPr>
          <w:rFonts w:ascii="Open Sans" w:hAnsi="Open Sans" w:eastAsia="Open Sans" w:cs="Open Sans"/>
          <w:sz w:val="22"/>
          <w:szCs w:val="22"/>
        </w:rPr>
      </w:r>
    </w:p>
    <w:p w14:paraId="16A00CF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Open Sans" w:hAnsi="Open Sans" w:cs="Open Sans"/>
        </w:rPr>
      </w:pPr>
      <w:r/>
      <w:hyperlink r:id="rId13" w:tooltip="https://meet.google.com/ios-rtrt-wwo" w:history="1">
        <w:r>
          <w:rPr>
            <w:rStyle w:val="700"/>
            <w:rFonts w:ascii="Open Sans" w:hAnsi="Open Sans" w:eastAsia="Open Sans" w:cs="Open Sans"/>
            <w:color w:val="0000ee"/>
            <w:sz w:val="24"/>
            <w:u w:val="single"/>
          </w:rPr>
          <w:t xml:space="preserve">https://meet.google.com/ios-rtrt-wwo</w:t>
        </w:r>
      </w:hyperlink>
      <w:r/>
      <w:r>
        <w:rPr>
          <w:rFonts w:ascii="Open Sans" w:hAnsi="Open Sans" w:eastAsia="Open Sans" w:cs="Open Sans"/>
        </w:rPr>
      </w:r>
    </w:p>
    <w:p w14:paraId="4CD336D1" w14:textId="5E376D5B">
      <w:pPr>
        <w:pBdr/>
        <w:spacing w:after="80" w:line="240" w:lineRule="auto"/>
        <w:ind/>
        <w:jc w:val="both"/>
        <w:rPr>
          <w:rFonts w:ascii="Open Sans" w:hAnsi="Open Sans" w:cs="Open Sans"/>
          <w:color w:val="ee0000"/>
          <w:sz w:val="22"/>
          <w:szCs w:val="22"/>
        </w:rPr>
      </w:pPr>
      <w:r>
        <w:rPr>
          <w:rFonts w:ascii="Open Sans" w:hAnsi="Open Sans" w:eastAsia="Open Sans" w:cs="Open Sans"/>
          <w:color w:val="ee0000"/>
          <w:sz w:val="22"/>
          <w:szCs w:val="22"/>
        </w:rPr>
      </w:r>
      <w:r>
        <w:rPr>
          <w:rFonts w:ascii="Open Sans" w:hAnsi="Open Sans" w:eastAsia="Open Sans" w:cs="Open Sans"/>
          <w:color w:val="ee0000"/>
          <w:sz w:val="22"/>
          <w:szCs w:val="22"/>
        </w:rPr>
      </w:r>
    </w:p>
    <w:p w14:paraId="11EC85A8" w14:textId="77777777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sz w:val="22"/>
          <w:szCs w:val="22"/>
        </w:rPr>
        <w:t xml:space="preserve">A Assembleia instalar-se-á em:</w:t>
      </w:r>
      <w:r>
        <w:rPr>
          <w:rFonts w:ascii="Open Sans" w:hAnsi="Open Sans" w:eastAsia="Open Sans" w:cs="Open Sans"/>
          <w:sz w:val="22"/>
          <w:szCs w:val="22"/>
        </w:rPr>
      </w:r>
    </w:p>
    <w:p w14:paraId="39D0351B" w14:textId="77777777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sz w:val="22"/>
          <w:szCs w:val="22"/>
        </w:rPr>
      </w:r>
      <w:r>
        <w:rPr>
          <w:rFonts w:ascii="Open Sans" w:hAnsi="Open Sans" w:eastAsia="Open Sans" w:cs="Open Sans"/>
          <w:sz w:val="22"/>
          <w:szCs w:val="22"/>
        </w:rPr>
      </w:r>
    </w:p>
    <w:p w14:paraId="039213B2" w14:textId="77777777">
      <w:pPr>
        <w:pBdr/>
        <w:spacing w:after="80" w:line="240" w:lineRule="auto"/>
        <w:ind/>
        <w:jc w:val="both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eastAsia="Open Sans" w:cs="Open Sans"/>
          <w:sz w:val="22"/>
          <w:szCs w:val="22"/>
        </w:rPr>
        <w:t xml:space="preserve">• </w:t>
      </w:r>
      <w:r>
        <w:rPr>
          <w:rFonts w:ascii="Open Sans" w:hAnsi="Open Sans" w:eastAsia="Open Sans" w:cs="Open Sans"/>
          <w:b/>
          <w:bCs/>
          <w:sz w:val="22"/>
          <w:szCs w:val="22"/>
        </w:rPr>
        <w:t xml:space="preserve">Primeira convocação: às 13h00, com metade mais um dos associados;</w:t>
      </w:r>
      <w:r>
        <w:rPr>
          <w:rFonts w:ascii="Open Sans" w:hAnsi="Open Sans" w:eastAsia="Open Sans" w:cs="Open Sans"/>
          <w:b/>
          <w:bCs/>
          <w:sz w:val="22"/>
          <w:szCs w:val="22"/>
        </w:rPr>
      </w:r>
    </w:p>
    <w:p w14:paraId="2260CCE0" w14:textId="77777777">
      <w:pPr>
        <w:pBdr/>
        <w:spacing w:after="80" w:line="240" w:lineRule="auto"/>
        <w:ind/>
        <w:jc w:val="both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eastAsia="Open Sans" w:cs="Open Sans"/>
          <w:b/>
          <w:bCs/>
          <w:sz w:val="22"/>
          <w:szCs w:val="22"/>
        </w:rPr>
        <w:t xml:space="preserve">• Segunda convocação: às 13h30, com qualquer quórum, nos termos do artigo 23, §2º, do Estatuto Social.</w:t>
      </w:r>
      <w:r>
        <w:rPr>
          <w:rFonts w:ascii="Open Sans" w:hAnsi="Open Sans" w:eastAsia="Open Sans" w:cs="Open Sans"/>
          <w:b/>
          <w:bCs/>
          <w:sz w:val="22"/>
          <w:szCs w:val="22"/>
        </w:rPr>
      </w:r>
    </w:p>
    <w:p w14:paraId="76A0698A" w14:textId="77777777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sz w:val="22"/>
          <w:szCs w:val="22"/>
        </w:rPr>
      </w:r>
      <w:r>
        <w:rPr>
          <w:rFonts w:ascii="Open Sans" w:hAnsi="Open Sans" w:eastAsia="Open Sans" w:cs="Open Sans"/>
          <w:sz w:val="22"/>
          <w:szCs w:val="22"/>
        </w:rPr>
      </w:r>
    </w:p>
    <w:p w14:paraId="02FDCDDF" w14:textId="77777777">
      <w:pPr>
        <w:pBdr/>
        <w:spacing w:after="80" w:line="240" w:lineRule="auto"/>
        <w:ind/>
        <w:jc w:val="both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eastAsia="Open Sans" w:cs="Open Sans"/>
          <w:b/>
          <w:bCs/>
          <w:sz w:val="22"/>
          <w:szCs w:val="22"/>
        </w:rPr>
        <w:t xml:space="preserve">ORDEM DO DIA</w:t>
      </w:r>
      <w:r>
        <w:rPr>
          <w:rFonts w:ascii="Open Sans" w:hAnsi="Open Sans" w:eastAsia="Open Sans" w:cs="Open Sans"/>
          <w:b/>
          <w:bCs/>
          <w:sz w:val="22"/>
          <w:szCs w:val="22"/>
        </w:rPr>
      </w:r>
    </w:p>
    <w:p w14:paraId="7D41871E" w14:textId="32D20CC0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sz w:val="22"/>
          <w:szCs w:val="22"/>
        </w:rPr>
        <w:t xml:space="preserve">1º </w:t>
      </w:r>
      <w:r>
        <w:rPr>
          <w:rFonts w:ascii="Open Sans" w:hAnsi="Open Sans" w:eastAsia="Open Sans" w:cs="Open Sans"/>
          <w:sz w:val="22"/>
          <w:szCs w:val="22"/>
        </w:rPr>
        <w:t xml:space="preserve">Deliberar sobre a alteração do Estatuto Social da APROPAMPA, com a finalidade de </w:t>
      </w:r>
      <w:r>
        <w:rPr>
          <w:rFonts w:ascii="Open Sans" w:hAnsi="Open Sans" w:eastAsia="Open Sans" w:cs="Open Sans"/>
          <w:sz w:val="22"/>
          <w:szCs w:val="22"/>
        </w:rPr>
        <w:t xml:space="preserve">alterar o artigo 10</w:t>
      </w:r>
      <w:r>
        <w:rPr>
          <w:rFonts w:ascii="Open Sans" w:hAnsi="Open Sans" w:eastAsia="Open Sans" w:cs="Open Sans"/>
          <w:sz w:val="22"/>
          <w:szCs w:val="22"/>
        </w:rPr>
        <w:t xml:space="preserve">§1º, </w:t>
      </w:r>
      <w:r>
        <w:rPr>
          <w:rFonts w:ascii="Open Sans" w:hAnsi="Open Sans" w:eastAsia="Open Sans" w:cs="Open Sans"/>
          <w:sz w:val="22"/>
          <w:szCs w:val="22"/>
        </w:rPr>
        <w:t xml:space="preserve">retirando a </w:t>
      </w:r>
      <w:r>
        <w:rPr>
          <w:rFonts w:ascii="Open Sans" w:hAnsi="Open Sans" w:eastAsia="Open Sans" w:cs="Open Sans"/>
          <w:sz w:val="22"/>
          <w:szCs w:val="22"/>
        </w:rPr>
        <w:t xml:space="preserve">sanção da perda definitiva do direito ao uso da IG “</w:t>
      </w:r>
      <w:r>
        <w:rPr>
          <w:rFonts w:ascii="Open Sans" w:hAnsi="Open Sans" w:eastAsia="Open Sans" w:cs="Open Sans"/>
          <w:b/>
          <w:bCs/>
          <w:sz w:val="22"/>
          <w:szCs w:val="22"/>
        </w:rPr>
        <w:t xml:space="preserve">PAMPA GAÚCHO</w:t>
      </w:r>
      <w:r>
        <w:rPr>
          <w:rFonts w:ascii="Open Sans" w:hAnsi="Open Sans" w:eastAsia="Open Sans" w:cs="Open Sans"/>
          <w:sz w:val="22"/>
          <w:szCs w:val="22"/>
        </w:rPr>
        <w:t xml:space="preserve">”, passando a seguinte redação</w:t>
      </w:r>
      <w:r>
        <w:rPr>
          <w:rFonts w:ascii="Open Sans" w:hAnsi="Open Sans" w:eastAsia="Open Sans" w:cs="Open Sans"/>
          <w:sz w:val="22"/>
          <w:szCs w:val="22"/>
        </w:rPr>
        <w:t xml:space="preserve">:</w:t>
      </w:r>
      <w:r>
        <w:rPr>
          <w:rFonts w:ascii="Open Sans" w:hAnsi="Open Sans" w:eastAsia="Open Sans" w:cs="Open Sans"/>
          <w:sz w:val="22"/>
          <w:szCs w:val="22"/>
        </w:rPr>
      </w:r>
    </w:p>
    <w:p w14:paraId="72F2E17C" w14:textId="77777777">
      <w:pPr>
        <w:pBdr/>
        <w:spacing w:after="80" w:line="240" w:lineRule="auto"/>
        <w:ind/>
        <w:jc w:val="both"/>
        <w:rPr>
          <w:rFonts w:ascii="Open Sans" w:hAnsi="Open Sans" w:cs="Open Sans"/>
          <w:i/>
          <w:iCs/>
          <w:sz w:val="22"/>
          <w:szCs w:val="22"/>
        </w:rPr>
      </w:pPr>
      <w:r>
        <w:rPr>
          <w:rFonts w:ascii="Open Sans" w:hAnsi="Open Sans" w:eastAsia="Open Sans" w:cs="Open Sans"/>
          <w:i/>
          <w:iCs/>
          <w:sz w:val="22"/>
          <w:szCs w:val="22"/>
        </w:rPr>
        <w:t xml:space="preserve">Artigo 10º - O associado que por ações e ou omissões causar danos à associação será obrigado a ressarcir, depois de devidamente apurado pela administração, os prejuízos causados.</w:t>
      </w:r>
      <w:r>
        <w:rPr>
          <w:rFonts w:ascii="Open Sans" w:hAnsi="Open Sans" w:eastAsia="Open Sans" w:cs="Open Sans"/>
          <w:i/>
          <w:iCs/>
          <w:sz w:val="22"/>
          <w:szCs w:val="22"/>
        </w:rPr>
      </w:r>
    </w:p>
    <w:p w14:paraId="128C14E2" w14:textId="77777777">
      <w:pPr>
        <w:pBdr/>
        <w:spacing w:after="80" w:line="240" w:lineRule="auto"/>
        <w:ind/>
        <w:jc w:val="both"/>
        <w:rPr>
          <w:rFonts w:ascii="Open Sans" w:hAnsi="Open Sans" w:cs="Open Sans"/>
          <w:i/>
          <w:iCs/>
          <w:sz w:val="22"/>
          <w:szCs w:val="22"/>
        </w:rPr>
      </w:pPr>
      <w:r>
        <w:rPr>
          <w:rFonts w:ascii="Open Sans" w:hAnsi="Open Sans" w:eastAsia="Open Sans" w:cs="Open Sans"/>
          <w:i/>
          <w:iCs/>
          <w:sz w:val="22"/>
          <w:szCs w:val="22"/>
        </w:rPr>
        <w:t xml:space="preserve">§1º</w:t>
      </w:r>
      <w:r>
        <w:rPr>
          <w:rFonts w:ascii="Open Sans" w:hAnsi="Open Sans" w:eastAsia="Open Sans" w:cs="Open Sans"/>
          <w:i/>
          <w:iCs/>
          <w:sz w:val="22"/>
          <w:szCs w:val="22"/>
        </w:rPr>
        <w:tab/>
      </w:r>
      <w:r>
        <w:rPr>
          <w:rFonts w:ascii="Open Sans" w:hAnsi="Open Sans" w:eastAsia="Open Sans" w:cs="Open Sans"/>
          <w:i/>
          <w:iCs/>
          <w:sz w:val="22"/>
          <w:szCs w:val="22"/>
        </w:rPr>
        <w:tab/>
        <w:t xml:space="preserve">A falta do associado relativamente a obediência das regras da Indicação Geográfica “PAMPA GAÚCHO” ou da marca coletiva APROPAMPA, independentemente de outras que venham a ser aplicadas, serão graduadas conforme a infração em:</w:t>
      </w:r>
      <w:r>
        <w:rPr>
          <w:rFonts w:ascii="Open Sans" w:hAnsi="Open Sans" w:eastAsia="Open Sans" w:cs="Open Sans"/>
          <w:i/>
          <w:iCs/>
          <w:sz w:val="22"/>
          <w:szCs w:val="22"/>
        </w:rPr>
      </w:r>
    </w:p>
    <w:p w14:paraId="4D222B9E" w14:textId="77777777">
      <w:pPr>
        <w:pBdr/>
        <w:spacing w:after="80" w:line="240" w:lineRule="auto"/>
        <w:ind/>
        <w:jc w:val="both"/>
        <w:rPr>
          <w:rFonts w:ascii="Open Sans" w:hAnsi="Open Sans" w:cs="Open Sans"/>
          <w:i/>
          <w:iCs/>
          <w:sz w:val="22"/>
          <w:szCs w:val="22"/>
        </w:rPr>
      </w:pPr>
      <w:r>
        <w:rPr>
          <w:rFonts w:ascii="Open Sans" w:hAnsi="Open Sans" w:eastAsia="Open Sans" w:cs="Open Sans"/>
          <w:i/>
          <w:iCs/>
          <w:sz w:val="22"/>
          <w:szCs w:val="22"/>
        </w:rPr>
        <w:t xml:space="preserve">a)</w:t>
      </w:r>
      <w:r>
        <w:rPr>
          <w:rFonts w:ascii="Open Sans" w:hAnsi="Open Sans" w:eastAsia="Open Sans" w:cs="Open Sans"/>
          <w:i/>
          <w:iCs/>
          <w:sz w:val="22"/>
          <w:szCs w:val="22"/>
        </w:rPr>
        <w:tab/>
        <w:t xml:space="preserve">Advertência por escrito;</w:t>
      </w:r>
      <w:r>
        <w:rPr>
          <w:rFonts w:ascii="Open Sans" w:hAnsi="Open Sans" w:eastAsia="Open Sans" w:cs="Open Sans"/>
          <w:i/>
          <w:iCs/>
          <w:sz w:val="22"/>
          <w:szCs w:val="22"/>
        </w:rPr>
      </w:r>
    </w:p>
    <w:p w14:paraId="32F01A7A" w14:textId="77777777">
      <w:pPr>
        <w:pBdr/>
        <w:spacing w:after="80" w:line="240" w:lineRule="auto"/>
        <w:ind/>
        <w:jc w:val="both"/>
        <w:rPr>
          <w:rFonts w:ascii="Open Sans" w:hAnsi="Open Sans" w:cs="Open Sans"/>
          <w:i/>
          <w:iCs/>
          <w:sz w:val="22"/>
          <w:szCs w:val="22"/>
        </w:rPr>
      </w:pPr>
      <w:r>
        <w:rPr>
          <w:rFonts w:ascii="Open Sans" w:hAnsi="Open Sans" w:eastAsia="Open Sans" w:cs="Open Sans"/>
          <w:i/>
          <w:iCs/>
          <w:sz w:val="22"/>
          <w:szCs w:val="22"/>
        </w:rPr>
        <w:t xml:space="preserve">b)</w:t>
      </w:r>
      <w:r>
        <w:rPr>
          <w:rFonts w:ascii="Open Sans" w:hAnsi="Open Sans" w:eastAsia="Open Sans" w:cs="Open Sans"/>
          <w:i/>
          <w:iCs/>
          <w:sz w:val="22"/>
          <w:szCs w:val="22"/>
        </w:rPr>
        <w:tab/>
        <w:t xml:space="preserve">Multa</w:t>
      </w:r>
      <w:r>
        <w:rPr>
          <w:rFonts w:ascii="Open Sans" w:hAnsi="Open Sans" w:eastAsia="Open Sans" w:cs="Open Sans"/>
          <w:i/>
          <w:iCs/>
          <w:sz w:val="22"/>
          <w:szCs w:val="22"/>
        </w:rPr>
      </w:r>
    </w:p>
    <w:p w14:paraId="40347823" w14:textId="77777777">
      <w:pPr>
        <w:pBdr/>
        <w:spacing w:after="80" w:line="240" w:lineRule="auto"/>
        <w:ind/>
        <w:jc w:val="both"/>
        <w:rPr>
          <w:rFonts w:ascii="Open Sans" w:hAnsi="Open Sans" w:cs="Open Sans"/>
          <w:i/>
          <w:iCs/>
          <w:sz w:val="22"/>
          <w:szCs w:val="22"/>
        </w:rPr>
      </w:pPr>
      <w:r>
        <w:rPr>
          <w:rFonts w:ascii="Open Sans" w:hAnsi="Open Sans" w:eastAsia="Open Sans" w:cs="Open Sans"/>
          <w:i/>
          <w:iCs/>
          <w:sz w:val="22"/>
          <w:szCs w:val="22"/>
        </w:rPr>
        <w:t xml:space="preserve">c)</w:t>
      </w:r>
      <w:r>
        <w:rPr>
          <w:rFonts w:ascii="Open Sans" w:hAnsi="Open Sans" w:eastAsia="Open Sans" w:cs="Open Sans"/>
          <w:i/>
          <w:iCs/>
          <w:sz w:val="22"/>
          <w:szCs w:val="22"/>
        </w:rPr>
        <w:tab/>
        <w:t xml:space="preserve">Suspensão temporária da Associação.</w:t>
      </w:r>
      <w:r>
        <w:rPr>
          <w:rFonts w:ascii="Open Sans" w:hAnsi="Open Sans" w:eastAsia="Open Sans" w:cs="Open Sans"/>
          <w:i/>
          <w:iCs/>
          <w:sz w:val="22"/>
          <w:szCs w:val="22"/>
        </w:rPr>
      </w:r>
    </w:p>
    <w:p w14:paraId="37F1AAEF" w14:textId="77777777">
      <w:pPr>
        <w:pBdr/>
        <w:spacing w:after="80" w:line="240" w:lineRule="auto"/>
        <w:ind/>
        <w:jc w:val="both"/>
        <w:rPr>
          <w:rFonts w:ascii="Open Sans" w:hAnsi="Open Sans" w:cs="Open Sans"/>
          <w:i/>
          <w:iCs/>
          <w:sz w:val="22"/>
          <w:szCs w:val="22"/>
        </w:rPr>
      </w:pPr>
      <w:r>
        <w:rPr>
          <w:rFonts w:ascii="Open Sans" w:hAnsi="Open Sans" w:eastAsia="Open Sans" w:cs="Open Sans"/>
          <w:i/>
          <w:iCs/>
          <w:sz w:val="22"/>
          <w:szCs w:val="22"/>
        </w:rPr>
        <w:t xml:space="preserve">d)</w:t>
      </w:r>
      <w:r>
        <w:rPr>
          <w:rFonts w:ascii="Open Sans" w:hAnsi="Open Sans" w:eastAsia="Open Sans" w:cs="Open Sans"/>
          <w:i/>
          <w:iCs/>
          <w:sz w:val="22"/>
          <w:szCs w:val="22"/>
        </w:rPr>
        <w:tab/>
        <w:t xml:space="preserve">Suspensão definitiva da Associação.</w:t>
      </w:r>
      <w:r>
        <w:rPr>
          <w:rFonts w:ascii="Open Sans" w:hAnsi="Open Sans" w:eastAsia="Open Sans" w:cs="Open Sans"/>
          <w:i/>
          <w:iCs/>
          <w:sz w:val="22"/>
          <w:szCs w:val="22"/>
        </w:rPr>
      </w:r>
    </w:p>
    <w:p w14:paraId="30280A06" w14:textId="4D3772F5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i/>
          <w:iCs/>
          <w:sz w:val="22"/>
          <w:szCs w:val="22"/>
        </w:rPr>
        <w:t xml:space="preserve">e)</w:t>
      </w:r>
      <w:r>
        <w:rPr>
          <w:rFonts w:ascii="Open Sans" w:hAnsi="Open Sans" w:eastAsia="Open Sans" w:cs="Open Sans"/>
          <w:i/>
          <w:iCs/>
          <w:sz w:val="22"/>
          <w:szCs w:val="22"/>
        </w:rPr>
        <w:tab/>
        <w:t xml:space="preserve">Perda do direito de uso do signo distintivo “APROPAMPA”.</w:t>
      </w:r>
      <w:r>
        <w:rPr>
          <w:rFonts w:ascii="Open Sans" w:hAnsi="Open Sans" w:eastAsia="Open Sans" w:cs="Open Sans"/>
          <w:sz w:val="22"/>
          <w:szCs w:val="22"/>
        </w:rPr>
      </w:r>
    </w:p>
    <w:p w14:paraId="4A742E98" w14:textId="77777777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sz w:val="22"/>
          <w:szCs w:val="22"/>
        </w:rPr>
      </w:r>
      <w:r>
        <w:rPr>
          <w:rFonts w:ascii="Open Sans" w:hAnsi="Open Sans" w:eastAsia="Open Sans" w:cs="Open Sans"/>
          <w:sz w:val="22"/>
          <w:szCs w:val="22"/>
        </w:rPr>
      </w:r>
    </w:p>
    <w:p w14:paraId="35FBD46B" w14:textId="54E2E48E">
      <w:pPr>
        <w:pBdr/>
        <w:spacing w:after="80" w:line="240" w:lineRule="auto"/>
        <w:ind/>
        <w:jc w:val="both"/>
        <w:rPr>
          <w:rFonts w:ascii="Open Sans" w:hAnsi="Open Sans" w:eastAsia="Open Sans" w:cs="Open Sans"/>
          <w:sz w:val="22"/>
          <w:szCs w:val="22"/>
          <w:highlight w:val="none"/>
        </w:rPr>
      </w:pPr>
      <w:r>
        <w:rPr>
          <w:rFonts w:ascii="Open Sans" w:hAnsi="Open Sans" w:eastAsia="Open Sans" w:cs="Open Sans"/>
          <w:sz w:val="22"/>
          <w:szCs w:val="22"/>
        </w:rPr>
        <w:t xml:space="preserve">2º </w:t>
      </w:r>
      <w:r>
        <w:rPr>
          <w:rFonts w:ascii="Open Sans" w:hAnsi="Open Sans" w:eastAsia="Open Sans" w:cs="Open Sans"/>
          <w:sz w:val="22"/>
          <w:szCs w:val="22"/>
        </w:rPr>
        <w:t xml:space="preserve">Deliberar sobre a alteração do Caderno de Especificações Técnicas da Indicação Geográfica “PAMPA GAÚCHO” para</w:t>
      </w:r>
      <w:r>
        <w:rPr>
          <w:rFonts w:ascii="Open Sans" w:hAnsi="Open Sans" w:eastAsia="Open Sans" w:cs="Open Sans"/>
          <w:b/>
          <w:bCs/>
          <w:sz w:val="22"/>
          <w:szCs w:val="22"/>
        </w:rPr>
        <w:t xml:space="preserve">: a)</w:t>
      </w:r>
      <w:r>
        <w:rPr>
          <w:rFonts w:ascii="Open Sans" w:hAnsi="Open Sans" w:eastAsia="Open Sans" w:cs="Open Sans"/>
          <w:sz w:val="22"/>
          <w:szCs w:val="22"/>
        </w:rPr>
        <w:t xml:space="preserve"> </w:t>
      </w:r>
      <w:r>
        <w:rPr>
          <w:rFonts w:ascii="Open Sans" w:hAnsi="Open Sans" w:eastAsia="Open Sans" w:cs="Open Sans"/>
          <w:sz w:val="22"/>
          <w:szCs w:val="22"/>
        </w:rPr>
        <w:t xml:space="preserve">alterar a redação do artigo 4º, a fim de deixar claro que </w:t>
      </w:r>
      <w:r>
        <w:rPr>
          <w:rFonts w:ascii="Open Sans" w:hAnsi="Open Sans" w:eastAsia="Open Sans" w:cs="Open Sans"/>
          <w:sz w:val="22"/>
          <w:szCs w:val="22"/>
        </w:rPr>
        <w:t xml:space="preserve">a área delimitada</w:t>
      </w:r>
      <w:r>
        <w:rPr>
          <w:rFonts w:ascii="Open Sans" w:hAnsi="Open Sans" w:eastAsia="Open Sans" w:cs="Open Sans"/>
          <w:sz w:val="22"/>
          <w:szCs w:val="22"/>
        </w:rPr>
        <w:t xml:space="preserve"> da IG é o bioma pampa, e não os </w:t>
      </w:r>
      <w:r>
        <w:rPr>
          <w:rFonts w:ascii="Open Sans" w:hAnsi="Open Sans" w:eastAsia="Open Sans" w:cs="Open Sans"/>
          <w:sz w:val="22"/>
          <w:szCs w:val="22"/>
        </w:rPr>
        <w:t xml:space="preserve">limites geopolíticos dos </w:t>
      </w:r>
      <w:r>
        <w:rPr>
          <w:rFonts w:ascii="Open Sans" w:hAnsi="Open Sans" w:eastAsia="Open Sans" w:cs="Open Sans"/>
          <w:sz w:val="22"/>
          <w:szCs w:val="22"/>
        </w:rPr>
        <w:t xml:space="preserve">municípios </w:t>
      </w:r>
      <w:r>
        <w:rPr>
          <w:rFonts w:ascii="Open Sans" w:hAnsi="Open Sans" w:eastAsia="Open Sans" w:cs="Open Sans"/>
          <w:sz w:val="22"/>
          <w:szCs w:val="22"/>
        </w:rPr>
        <w:t xml:space="preserve">que o </w:t>
      </w:r>
      <w:r>
        <w:rPr>
          <w:rFonts w:ascii="Open Sans" w:hAnsi="Open Sans" w:eastAsia="Open Sans" w:cs="Open Sans"/>
          <w:sz w:val="22"/>
          <w:szCs w:val="22"/>
        </w:rPr>
        <w:t xml:space="preserve">integram ;</w:t>
      </w:r>
      <w:r>
        <w:rPr>
          <w:rFonts w:ascii="Open Sans" w:hAnsi="Open Sans" w:eastAsia="Open Sans" w:cs="Open Sans"/>
          <w:sz w:val="22"/>
          <w:szCs w:val="22"/>
        </w:rPr>
        <w:t xml:space="preserve"> </w:t>
      </w:r>
      <w:r>
        <w:rPr>
          <w:rFonts w:ascii="Open Sans" w:hAnsi="Open Sans" w:eastAsia="Open Sans" w:cs="Open Sans"/>
          <w:b/>
          <w:bCs/>
          <w:sz w:val="22"/>
          <w:szCs w:val="22"/>
        </w:rPr>
        <w:t xml:space="preserve">b)</w:t>
      </w:r>
      <w:r>
        <w:rPr>
          <w:rFonts w:ascii="Open Sans" w:hAnsi="Open Sans" w:eastAsia="Open Sans" w:cs="Open Sans"/>
          <w:sz w:val="22"/>
          <w:szCs w:val="22"/>
        </w:rPr>
        <w:t xml:space="preserve"> </w:t>
      </w:r>
      <w:r>
        <w:rPr>
          <w:rFonts w:ascii="Open Sans" w:hAnsi="Open Sans" w:eastAsia="Open Sans" w:cs="Open Sans"/>
          <w:sz w:val="22"/>
          <w:szCs w:val="22"/>
        </w:rPr>
        <w:t xml:space="preserve">alterar os artigos 7.3 e 18.1 limitando as resoluções Internas </w:t>
      </w:r>
      <w:r>
        <w:rPr>
          <w:rFonts w:ascii="Open Sans" w:hAnsi="Open Sans" w:eastAsia="Open Sans" w:cs="Open Sans"/>
          <w:sz w:val="22"/>
          <w:szCs w:val="22"/>
        </w:rPr>
        <w:t xml:space="preserve">às regras do próprio CET; e, </w:t>
      </w:r>
      <w:r>
        <w:rPr>
          <w:rFonts w:ascii="Open Sans" w:hAnsi="Open Sans" w:eastAsia="Open Sans" w:cs="Open Sans"/>
          <w:b/>
          <w:bCs/>
          <w:sz w:val="22"/>
          <w:szCs w:val="22"/>
        </w:rPr>
        <w:t xml:space="preserve">c)</w:t>
      </w:r>
      <w:r>
        <w:rPr>
          <w:rFonts w:ascii="Open Sans" w:hAnsi="Open Sans" w:eastAsia="Open Sans" w:cs="Open Sans"/>
          <w:sz w:val="22"/>
          <w:szCs w:val="22"/>
        </w:rPr>
        <w:t xml:space="preserve"> alterar o artigo 30 para </w:t>
      </w:r>
      <w:r>
        <w:rPr>
          <w:rFonts w:ascii="Open Sans" w:hAnsi="Open Sans" w:eastAsia="Open Sans" w:cs="Open Sans"/>
          <w:sz w:val="22"/>
          <w:szCs w:val="22"/>
        </w:rPr>
        <w:t xml:space="preserve">determinar as hipóteses de incidência das penas, nos seguintes termos:</w:t>
      </w:r>
      <w:r>
        <w:rPr>
          <w:rFonts w:ascii="Open Sans" w:hAnsi="Open Sans" w:cs="Open Sans"/>
          <w:sz w:val="22"/>
          <w:szCs w:val="22"/>
        </w:rPr>
      </w:r>
    </w:p>
    <w:p w14:paraId="5EA3B608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sz w:val="22"/>
          <w:szCs w:val="22"/>
          <w:highlight w:val="none"/>
        </w:rPr>
      </w:r>
      <w:r>
        <w:rPr>
          <w:rFonts w:ascii="Open Sans" w:hAnsi="Open Sans" w:eastAsia="Open Sans" w:cs="Open Sans"/>
          <w:sz w:val="22"/>
          <w:szCs w:val="22"/>
          <w:highlight w:val="none"/>
        </w:rPr>
      </w:r>
      <w:r>
        <w:rPr>
          <w:rFonts w:ascii="Open Sans" w:hAnsi="Open Sans" w:eastAsia="Open Sans" w:cs="Open Sans"/>
          <w:sz w:val="22"/>
          <w:szCs w:val="22"/>
          <w:highlight w:val="none"/>
        </w:rPr>
      </w:r>
    </w:p>
    <w:p w14:paraId="7681ADEE" w14:textId="06BB58B4">
      <w:pPr>
        <w:pBdr/>
        <w:spacing w:after="80" w:line="240" w:lineRule="auto"/>
        <w:ind/>
        <w:jc w:val="both"/>
        <w:rPr>
          <w:rFonts w:ascii="Open Sans" w:hAnsi="Open Sans" w:cs="Open Sans"/>
          <w:i/>
          <w:iCs/>
          <w:sz w:val="22"/>
          <w:szCs w:val="22"/>
        </w:rPr>
      </w:pPr>
      <w:r>
        <w:rPr>
          <w:rFonts w:ascii="Open Sans" w:hAnsi="Open Sans" w:eastAsia="Open Sans" w:cs="Open Sans"/>
          <w:i/>
          <w:iCs/>
          <w:sz w:val="22"/>
          <w:szCs w:val="22"/>
        </w:rPr>
        <w:t xml:space="preserve">Art</w:t>
      </w:r>
      <w:r>
        <w:rPr>
          <w:rFonts w:ascii="Open Sans" w:hAnsi="Open Sans" w:eastAsia="Open Sans" w:cs="Open Sans"/>
          <w:i/>
          <w:iCs/>
          <w:sz w:val="22"/>
          <w:szCs w:val="22"/>
        </w:rPr>
        <w:t xml:space="preserve">igo</w:t>
      </w:r>
      <w:r>
        <w:rPr>
          <w:rFonts w:ascii="Open Sans" w:hAnsi="Open Sans" w:eastAsia="Open Sans" w:cs="Open Sans"/>
          <w:i/>
          <w:iCs/>
          <w:sz w:val="22"/>
          <w:szCs w:val="22"/>
        </w:rPr>
        <w:t xml:space="preserve"> 30</w:t>
      </w:r>
      <w:r>
        <w:rPr>
          <w:rFonts w:ascii="Open Sans" w:hAnsi="Open Sans" w:eastAsia="Open Sans" w:cs="Open Sans"/>
          <w:i/>
          <w:iCs/>
          <w:sz w:val="22"/>
          <w:szCs w:val="22"/>
        </w:rPr>
        <w:t xml:space="preserve">º</w:t>
      </w:r>
      <w:r>
        <w:rPr>
          <w:rFonts w:ascii="Open Sans" w:hAnsi="Open Sans" w:eastAsia="Open Sans" w:cs="Open Sans"/>
          <w:i/>
          <w:iCs/>
          <w:sz w:val="22"/>
          <w:szCs w:val="22"/>
        </w:rPr>
        <w:tab/>
      </w:r>
      <w:r>
        <w:rPr>
          <w:rFonts w:ascii="Open Sans" w:hAnsi="Open Sans" w:eastAsia="Open Sans" w:cs="Open Sans"/>
          <w:i/>
          <w:iCs/>
          <w:sz w:val="22"/>
          <w:szCs w:val="22"/>
        </w:rPr>
        <w:t xml:space="preserve">Penalidades para infrações à IG Pampa Gaúcho:</w:t>
      </w:r>
      <w:r>
        <w:rPr>
          <w:rFonts w:ascii="Open Sans" w:hAnsi="Open Sans" w:eastAsia="Open Sans" w:cs="Open Sans"/>
          <w:i/>
          <w:iCs/>
          <w:sz w:val="22"/>
          <w:szCs w:val="22"/>
        </w:rPr>
      </w:r>
    </w:p>
    <w:p w14:paraId="67FA7679" w14:textId="223C4CAF">
      <w:pPr>
        <w:pBdr/>
        <w:spacing w:after="80" w:line="240" w:lineRule="auto"/>
        <w:ind/>
        <w:jc w:val="both"/>
        <w:rPr>
          <w:rFonts w:ascii="Open Sans" w:hAnsi="Open Sans" w:cs="Open Sans"/>
          <w:i/>
          <w:iCs/>
          <w:sz w:val="22"/>
          <w:szCs w:val="22"/>
        </w:rPr>
      </w:pPr>
      <w:r>
        <w:rPr>
          <w:rFonts w:ascii="Open Sans" w:hAnsi="Open Sans" w:eastAsia="Open Sans" w:cs="Open Sans"/>
          <w:i/>
          <w:iCs/>
          <w:sz w:val="22"/>
          <w:szCs w:val="22"/>
        </w:rPr>
        <w:t xml:space="preserve">30.1 Advertência por escrito sempre que houver violação às obrigações deste CET</w:t>
      </w:r>
      <w:r>
        <w:rPr>
          <w:rFonts w:ascii="Open Sans" w:hAnsi="Open Sans" w:eastAsia="Open Sans" w:cs="Open Sans"/>
          <w:i/>
          <w:iCs/>
          <w:sz w:val="22"/>
          <w:szCs w:val="22"/>
        </w:rPr>
        <w:t xml:space="preserve">, em especial,</w:t>
      </w:r>
      <w:r>
        <w:rPr>
          <w:rFonts w:ascii="Open Sans" w:hAnsi="Open Sans" w:eastAsia="Open Sans" w:cs="Open Sans"/>
          <w:i/>
          <w:iCs/>
          <w:sz w:val="22"/>
          <w:szCs w:val="22"/>
        </w:rPr>
        <w:t xml:space="preserve"> mas não restrito, aos artigos 9º, 18º e capítulo VI;</w:t>
      </w:r>
      <w:r>
        <w:rPr>
          <w:rFonts w:ascii="Open Sans" w:hAnsi="Open Sans" w:eastAsia="Open Sans" w:cs="Open Sans"/>
          <w:i/>
          <w:iCs/>
          <w:sz w:val="22"/>
          <w:szCs w:val="22"/>
        </w:rPr>
      </w:r>
    </w:p>
    <w:p w14:paraId="0E9FF945" w14:textId="77777777">
      <w:pPr>
        <w:pBdr/>
        <w:spacing w:after="80" w:line="240" w:lineRule="auto"/>
        <w:ind/>
        <w:jc w:val="both"/>
        <w:rPr>
          <w:rFonts w:ascii="Open Sans" w:hAnsi="Open Sans" w:cs="Open Sans"/>
          <w:i/>
          <w:iCs/>
          <w:sz w:val="22"/>
          <w:szCs w:val="22"/>
        </w:rPr>
      </w:pPr>
      <w:r>
        <w:rPr>
          <w:rFonts w:ascii="Open Sans" w:hAnsi="Open Sans" w:eastAsia="Open Sans" w:cs="Open Sans"/>
          <w:i/>
          <w:iCs/>
          <w:sz w:val="22"/>
          <w:szCs w:val="22"/>
        </w:rPr>
        <w:t xml:space="preserve">30.2 Multa sempre que houver violação aos artigos 5º à 8º, 15º à 17º. Igualmente aplica-se multa sempre que houver reincidência dentro dos últimos 12 meses das obrigações do artigo 30.1 acima.</w:t>
      </w:r>
      <w:r>
        <w:rPr>
          <w:rFonts w:ascii="Open Sans" w:hAnsi="Open Sans" w:eastAsia="Open Sans" w:cs="Open Sans"/>
          <w:i/>
          <w:iCs/>
          <w:sz w:val="22"/>
          <w:szCs w:val="22"/>
        </w:rPr>
      </w:r>
    </w:p>
    <w:p w14:paraId="2A2A8277" w14:textId="77777777">
      <w:pPr>
        <w:pBdr/>
        <w:spacing w:after="80" w:line="240" w:lineRule="auto"/>
        <w:ind/>
        <w:jc w:val="both"/>
        <w:rPr>
          <w:rFonts w:ascii="Open Sans" w:hAnsi="Open Sans" w:cs="Open Sans"/>
          <w:i/>
          <w:iCs/>
          <w:sz w:val="22"/>
          <w:szCs w:val="22"/>
        </w:rPr>
      </w:pPr>
      <w:r>
        <w:rPr>
          <w:rFonts w:ascii="Open Sans" w:hAnsi="Open Sans" w:eastAsia="Open Sans" w:cs="Open Sans"/>
          <w:i/>
          <w:iCs/>
          <w:sz w:val="22"/>
          <w:szCs w:val="22"/>
        </w:rPr>
        <w:t xml:space="preserve">30.2.1 A multa será arbitrada entre 3 e 10 anuidades.</w:t>
      </w:r>
      <w:r>
        <w:rPr>
          <w:rFonts w:ascii="Open Sans" w:hAnsi="Open Sans" w:eastAsia="Open Sans" w:cs="Open Sans"/>
          <w:i/>
          <w:iCs/>
          <w:sz w:val="22"/>
          <w:szCs w:val="22"/>
        </w:rPr>
      </w:r>
    </w:p>
    <w:p w14:paraId="37BA8DF0" w14:textId="3BDBE420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i/>
          <w:iCs/>
          <w:sz w:val="22"/>
          <w:szCs w:val="22"/>
        </w:rPr>
        <w:t xml:space="preserve">30.3 Suspensão temporária do uso da IG Pampa Gaúcho se aplicará em casos de reincidência de quaisquer das hipóteses do 30.1 e 30.2 dentro dos últimos 36 meses. A suspensão temporária será arbitrada entre 6 e 12 meses.</w:t>
      </w:r>
      <w:r>
        <w:rPr>
          <w:rFonts w:ascii="Open Sans" w:hAnsi="Open Sans" w:eastAsia="Open Sans" w:cs="Open Sans"/>
          <w:sz w:val="22"/>
          <w:szCs w:val="22"/>
        </w:rPr>
      </w:r>
    </w:p>
    <w:p w14:paraId="7D8320AC" w14:textId="6370047A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sz w:val="22"/>
          <w:szCs w:val="22"/>
        </w:rPr>
      </w:r>
      <w:r>
        <w:rPr>
          <w:rFonts w:ascii="Open Sans" w:hAnsi="Open Sans" w:eastAsia="Open Sans" w:cs="Open Sans"/>
          <w:sz w:val="22"/>
          <w:szCs w:val="22"/>
        </w:rPr>
      </w:r>
    </w:p>
    <w:p w14:paraId="72667494" w14:textId="77777777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sz w:val="22"/>
          <w:szCs w:val="22"/>
        </w:rPr>
        <w:t xml:space="preserve">Os documentos relativos às matérias constantes da ordem do dia permanecerão à disposição dos associados mediante solicitação prévia à Diretoria da APROPAMPA.</w:t>
      </w:r>
      <w:r>
        <w:rPr>
          <w:rFonts w:ascii="Open Sans" w:hAnsi="Open Sans" w:eastAsia="Open Sans" w:cs="Open Sans"/>
          <w:sz w:val="22"/>
          <w:szCs w:val="22"/>
        </w:rPr>
      </w:r>
    </w:p>
    <w:p w14:paraId="5AB68221" w14:textId="77777777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sz w:val="22"/>
          <w:szCs w:val="22"/>
        </w:rPr>
      </w:r>
      <w:r>
        <w:rPr>
          <w:rFonts w:ascii="Open Sans" w:hAnsi="Open Sans" w:eastAsia="Open Sans" w:cs="Open Sans"/>
          <w:sz w:val="22"/>
          <w:szCs w:val="22"/>
        </w:rPr>
      </w:r>
    </w:p>
    <w:p w14:paraId="2FB42053" w14:textId="5B68B361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sz w:val="22"/>
          <w:szCs w:val="22"/>
        </w:rPr>
        <w:t xml:space="preserve">A participação dos associados ocorrerá por meio eletrônico, sendo o registro de presença realizado através da plataforma de videoconferência utilizada para a reunião, nos termos do Estatuto Social.</w:t>
      </w:r>
      <w:r>
        <w:rPr>
          <w:rFonts w:ascii="Open Sans" w:hAnsi="Open Sans" w:eastAsia="Open Sans" w:cs="Open Sans"/>
          <w:sz w:val="22"/>
          <w:szCs w:val="22"/>
        </w:rPr>
      </w:r>
    </w:p>
    <w:p w14:paraId="1041976E" w14:textId="77777777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sz w:val="22"/>
          <w:szCs w:val="22"/>
        </w:rPr>
      </w:r>
      <w:r>
        <w:rPr>
          <w:rFonts w:ascii="Open Sans" w:hAnsi="Open Sans" w:eastAsia="Open Sans" w:cs="Open Sans"/>
          <w:sz w:val="22"/>
          <w:szCs w:val="22"/>
        </w:rPr>
      </w:r>
    </w:p>
    <w:p w14:paraId="0317B487" w14:textId="0FB98C87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sz w:val="22"/>
          <w:szCs w:val="22"/>
        </w:rPr>
        <w:t xml:space="preserve">Bagé/RS, </w:t>
      </w:r>
      <w:r>
        <w:rPr>
          <w:rFonts w:ascii="Open Sans" w:hAnsi="Open Sans" w:eastAsia="Open Sans" w:cs="Open Sans"/>
          <w:sz w:val="22"/>
          <w:szCs w:val="22"/>
        </w:rPr>
        <w:t xml:space="preserve">14</w:t>
      </w:r>
      <w:r>
        <w:rPr>
          <w:rFonts w:ascii="Open Sans" w:hAnsi="Open Sans" w:eastAsia="Open Sans" w:cs="Open Sans"/>
          <w:sz w:val="22"/>
          <w:szCs w:val="22"/>
        </w:rPr>
        <w:t xml:space="preserve"> de </w:t>
      </w:r>
      <w:r>
        <w:rPr>
          <w:rFonts w:ascii="Open Sans" w:hAnsi="Open Sans" w:eastAsia="Open Sans" w:cs="Open Sans"/>
          <w:sz w:val="22"/>
          <w:szCs w:val="22"/>
        </w:rPr>
        <w:t xml:space="preserve">setembro</w:t>
      </w:r>
      <w:r>
        <w:rPr>
          <w:rFonts w:ascii="Open Sans" w:hAnsi="Open Sans" w:eastAsia="Open Sans" w:cs="Open Sans"/>
          <w:sz w:val="22"/>
          <w:szCs w:val="22"/>
        </w:rPr>
        <w:t xml:space="preserve"> de 2026.</w:t>
      </w:r>
      <w:r>
        <w:rPr>
          <w:rFonts w:ascii="Open Sans" w:hAnsi="Open Sans" w:eastAsia="Open Sans" w:cs="Open Sans"/>
          <w:sz w:val="22"/>
          <w:szCs w:val="22"/>
        </w:rPr>
      </w:r>
    </w:p>
    <w:p w14:paraId="3F755CC9" w14:textId="77777777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sz w:val="22"/>
          <w:szCs w:val="22"/>
        </w:rPr>
      </w:r>
      <w:r>
        <w:rPr>
          <w:rFonts w:ascii="Open Sans" w:hAnsi="Open Sans" w:eastAsia="Open Sans" w:cs="Open Sans"/>
          <w:sz w:val="22"/>
          <w:szCs w:val="22"/>
        </w:rPr>
      </w:r>
    </w:p>
    <w:p w14:paraId="6ED93C39" w14:textId="77777777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sz w:val="22"/>
          <w:szCs w:val="22"/>
        </w:rPr>
      </w:r>
      <w:r>
        <w:rPr>
          <w:rFonts w:ascii="Open Sans" w:hAnsi="Open Sans" w:eastAsia="Open Sans" w:cs="Open Sans"/>
          <w:sz w:val="22"/>
          <w:szCs w:val="22"/>
        </w:rPr>
      </w:r>
    </w:p>
    <w:p w14:paraId="6F70DED4" w14:textId="14755847">
      <w:pPr>
        <w:pBdr/>
        <w:spacing w:after="80" w:line="240" w:lineRule="auto"/>
        <w:ind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eastAsia="Open Sans" w:cs="Open Sans"/>
          <w:sz w:val="22"/>
          <w:szCs w:val="22"/>
        </w:rPr>
        <w:t xml:space="preserve">Presidente da APROPAMPA</w:t>
      </w:r>
      <w:r>
        <w:rPr>
          <w:rFonts w:ascii="Open Sans" w:hAnsi="Open Sans" w:eastAsia="Open Sans" w:cs="Open Sans"/>
          <w:sz w:val="22"/>
          <w:szCs w:val="22"/>
        </w:rPr>
      </w:r>
    </w:p>
    <w:sectPr>
      <w:headerReference w:type="default" r:id="rId8"/>
      <w:footerReference w:type="default" r:id="rId9"/>
      <w:footnotePr/>
      <w:endnotePr/>
      <w:type w:val="nextPage"/>
      <w:pgSz w:h="16838" w:orient="portrait" w:w="11906"/>
      <w:pgMar w:top="3231" w:right="1134" w:bottom="1417" w:left="1134" w:header="0" w:footer="0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4F846D9">
    <w:pPr>
      <w:pStyle w:val="178"/>
      <w:pBdr/>
      <w:spacing/>
      <w:ind w:right="0" w:firstLine="0" w:left="-1134"/>
      <w:rPr/>
    </w:pPr>
    <w:r/>
    <w:r>
      <mc:AlternateContent>
        <mc:Choice Requires="wpg">
          <w:drawing>
            <wp:inline xmlns:wp="http://schemas.openxmlformats.org/drawingml/2006/wordprocessingDrawing" distT="0" distB="0" distL="0" distR="0">
              <wp:extent cx="7544775" cy="612480"/>
              <wp:effectExtent l="0" t="0" r="0" b="0"/>
              <wp:docPr id="2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02694426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flipH="0" flipV="0">
                        <a:off x="0" y="0"/>
                        <a:ext cx="7544774" cy="61247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594.08pt;height:48.23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  <w:r/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490B11B">
    <w:pPr>
      <w:pStyle w:val="176"/>
      <w:pBdr/>
      <w:spacing/>
      <w:ind w:right="-707" w:firstLine="0" w:left="-1134"/>
      <w:rPr/>
    </w:pPr>
    <w:r/>
    <w:r>
      <mc:AlternateContent>
        <mc:Choice Requires="wpg">
          <w:drawing>
            <wp:inline xmlns:wp="http://schemas.openxmlformats.org/drawingml/2006/wordprocessingDrawing" distT="0" distB="0" distL="0" distR="0">
              <wp:extent cx="7582875" cy="1736023"/>
              <wp:effectExtent l="0" t="0" r="0" b="0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9255240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flipH="0" flipV="0">
                        <a:off x="0" y="0"/>
                        <a:ext cx="7582874" cy="173602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597.08pt;height:136.69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  <w:r/>
    <w:r/>
    <w:r/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pt-B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7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7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677"/>
    <w:link w:val="66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7"/>
    <w:link w:val="66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7"/>
    <w:link w:val="67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7"/>
    <w:link w:val="67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7"/>
    <w:link w:val="67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7"/>
    <w:link w:val="67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7"/>
    <w:link w:val="67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7"/>
    <w:link w:val="67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7"/>
    <w:link w:val="67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77"/>
    <w:link w:val="68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677"/>
    <w:link w:val="69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677"/>
    <w:link w:val="69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677"/>
    <w:link w:val="697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170">
    <w:name w:val="No Spacing"/>
    <w:basedOn w:val="667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7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7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7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7"/>
    <w:link w:val="176"/>
    <w:uiPriority w:val="99"/>
    <w:pPr>
      <w:pBdr/>
      <w:spacing/>
      <w:ind/>
    </w:pPr>
  </w:style>
  <w:style w:type="paragraph" w:styleId="178">
    <w:name w:val="Footer"/>
    <w:basedOn w:val="667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7"/>
    <w:link w:val="178"/>
    <w:uiPriority w:val="99"/>
    <w:pPr>
      <w:pBdr/>
      <w:spacing/>
      <w:ind/>
    </w:pPr>
  </w:style>
  <w:style w:type="paragraph" w:styleId="180">
    <w:name w:val="Caption"/>
    <w:basedOn w:val="667"/>
    <w:next w:val="66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7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7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7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7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7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67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7"/>
    <w:next w:val="667"/>
    <w:uiPriority w:val="39"/>
    <w:unhideWhenUsed/>
    <w:pPr>
      <w:pBdr/>
      <w:spacing w:after="100"/>
      <w:ind/>
    </w:pPr>
  </w:style>
  <w:style w:type="paragraph" w:styleId="190">
    <w:name w:val="toc 2"/>
    <w:basedOn w:val="667"/>
    <w:next w:val="667"/>
    <w:uiPriority w:val="39"/>
    <w:unhideWhenUsed/>
    <w:pPr>
      <w:pBdr/>
      <w:spacing w:after="100"/>
      <w:ind w:left="220"/>
    </w:pPr>
  </w:style>
  <w:style w:type="paragraph" w:styleId="191">
    <w:name w:val="toc 3"/>
    <w:basedOn w:val="667"/>
    <w:next w:val="667"/>
    <w:uiPriority w:val="39"/>
    <w:unhideWhenUsed/>
    <w:pPr>
      <w:pBdr/>
      <w:spacing w:after="100"/>
      <w:ind w:left="440"/>
    </w:pPr>
  </w:style>
  <w:style w:type="paragraph" w:styleId="192">
    <w:name w:val="toc 4"/>
    <w:basedOn w:val="667"/>
    <w:next w:val="667"/>
    <w:uiPriority w:val="39"/>
    <w:unhideWhenUsed/>
    <w:pPr>
      <w:pBdr/>
      <w:spacing w:after="100"/>
      <w:ind w:left="660"/>
    </w:pPr>
  </w:style>
  <w:style w:type="paragraph" w:styleId="193">
    <w:name w:val="toc 5"/>
    <w:basedOn w:val="667"/>
    <w:next w:val="667"/>
    <w:uiPriority w:val="39"/>
    <w:unhideWhenUsed/>
    <w:pPr>
      <w:pBdr/>
      <w:spacing w:after="100"/>
      <w:ind w:left="880"/>
    </w:pPr>
  </w:style>
  <w:style w:type="paragraph" w:styleId="194">
    <w:name w:val="toc 6"/>
    <w:basedOn w:val="667"/>
    <w:next w:val="667"/>
    <w:uiPriority w:val="39"/>
    <w:unhideWhenUsed/>
    <w:pPr>
      <w:pBdr/>
      <w:spacing w:after="100"/>
      <w:ind w:left="1100"/>
    </w:pPr>
  </w:style>
  <w:style w:type="paragraph" w:styleId="195">
    <w:name w:val="toc 7"/>
    <w:basedOn w:val="667"/>
    <w:next w:val="667"/>
    <w:uiPriority w:val="39"/>
    <w:unhideWhenUsed/>
    <w:pPr>
      <w:pBdr/>
      <w:spacing w:after="100"/>
      <w:ind w:left="1320"/>
    </w:pPr>
  </w:style>
  <w:style w:type="paragraph" w:styleId="196">
    <w:name w:val="toc 8"/>
    <w:basedOn w:val="667"/>
    <w:next w:val="667"/>
    <w:uiPriority w:val="39"/>
    <w:unhideWhenUsed/>
    <w:pPr>
      <w:pBdr/>
      <w:spacing w:after="100"/>
      <w:ind w:left="1540"/>
    </w:pPr>
  </w:style>
  <w:style w:type="paragraph" w:styleId="197">
    <w:name w:val="toc 9"/>
    <w:basedOn w:val="667"/>
    <w:next w:val="667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7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7"/>
    <w:next w:val="667"/>
    <w:uiPriority w:val="99"/>
    <w:unhideWhenUsed/>
    <w:pPr>
      <w:pBdr/>
      <w:spacing w:after="0" w:afterAutospacing="0"/>
      <w:ind/>
    </w:pPr>
  </w:style>
  <w:style w:type="paragraph" w:styleId="667" w:default="1">
    <w:name w:val="Normal"/>
    <w:qFormat/>
    <w:pPr>
      <w:pBdr/>
      <w:spacing/>
      <w:ind/>
    </w:pPr>
  </w:style>
  <w:style w:type="paragraph" w:styleId="668">
    <w:name w:val="Heading 1"/>
    <w:basedOn w:val="667"/>
    <w:next w:val="667"/>
    <w:link w:val="68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669">
    <w:name w:val="Heading 2"/>
    <w:basedOn w:val="667"/>
    <w:next w:val="667"/>
    <w:link w:val="681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670">
    <w:name w:val="Heading 3"/>
    <w:basedOn w:val="667"/>
    <w:next w:val="667"/>
    <w:link w:val="682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71">
    <w:name w:val="Heading 4"/>
    <w:basedOn w:val="667"/>
    <w:next w:val="667"/>
    <w:link w:val="683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672">
    <w:name w:val="Heading 5"/>
    <w:basedOn w:val="667"/>
    <w:next w:val="667"/>
    <w:link w:val="684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673">
    <w:name w:val="Heading 6"/>
    <w:basedOn w:val="667"/>
    <w:next w:val="667"/>
    <w:link w:val="685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74">
    <w:name w:val="Heading 7"/>
    <w:basedOn w:val="667"/>
    <w:next w:val="667"/>
    <w:link w:val="686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675">
    <w:name w:val="Heading 8"/>
    <w:basedOn w:val="667"/>
    <w:next w:val="667"/>
    <w:link w:val="687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76">
    <w:name w:val="Heading 9"/>
    <w:basedOn w:val="667"/>
    <w:next w:val="667"/>
    <w:link w:val="688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677" w:default="1">
    <w:name w:val="Default Paragraph Font"/>
    <w:uiPriority w:val="1"/>
    <w:semiHidden/>
    <w:unhideWhenUsed/>
    <w:pPr>
      <w:pBdr/>
      <w:spacing/>
      <w:ind/>
    </w:pPr>
  </w:style>
  <w:style w:type="table" w:styleId="67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9" w:default="1">
    <w:name w:val="No List"/>
    <w:uiPriority w:val="99"/>
    <w:semiHidden/>
    <w:unhideWhenUsed/>
    <w:pPr>
      <w:pBdr/>
      <w:spacing/>
      <w:ind/>
    </w:pPr>
  </w:style>
  <w:style w:type="character" w:styleId="680" w:customStyle="1">
    <w:name w:val="Título 1 Char"/>
    <w:basedOn w:val="677"/>
    <w:link w:val="668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681" w:customStyle="1">
    <w:name w:val="Título 2 Char"/>
    <w:basedOn w:val="677"/>
    <w:link w:val="669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682" w:customStyle="1">
    <w:name w:val="Título 3 Char"/>
    <w:basedOn w:val="677"/>
    <w:link w:val="670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683" w:customStyle="1">
    <w:name w:val="Título 4 Char"/>
    <w:basedOn w:val="677"/>
    <w:link w:val="671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684" w:customStyle="1">
    <w:name w:val="Título 5 Char"/>
    <w:basedOn w:val="677"/>
    <w:link w:val="672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685" w:customStyle="1">
    <w:name w:val="Título 6 Char"/>
    <w:basedOn w:val="677"/>
    <w:link w:val="673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686" w:customStyle="1">
    <w:name w:val="Título 7 Char"/>
    <w:basedOn w:val="677"/>
    <w:link w:val="674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687" w:customStyle="1">
    <w:name w:val="Título 8 Char"/>
    <w:basedOn w:val="677"/>
    <w:link w:val="675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688" w:customStyle="1">
    <w:name w:val="Título 9 Char"/>
    <w:basedOn w:val="677"/>
    <w:link w:val="676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689">
    <w:name w:val="Title"/>
    <w:basedOn w:val="667"/>
    <w:next w:val="667"/>
    <w:link w:val="690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90" w:customStyle="1">
    <w:name w:val="Título Char"/>
    <w:basedOn w:val="677"/>
    <w:link w:val="689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91">
    <w:name w:val="Subtitle"/>
    <w:basedOn w:val="667"/>
    <w:next w:val="667"/>
    <w:link w:val="692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692" w:customStyle="1">
    <w:name w:val="Subtítulo Char"/>
    <w:basedOn w:val="677"/>
    <w:link w:val="691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693">
    <w:name w:val="Quote"/>
    <w:basedOn w:val="667"/>
    <w:next w:val="667"/>
    <w:link w:val="69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694" w:customStyle="1">
    <w:name w:val="Citação Char"/>
    <w:basedOn w:val="677"/>
    <w:link w:val="69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695">
    <w:name w:val="List Paragraph"/>
    <w:basedOn w:val="667"/>
    <w:uiPriority w:val="34"/>
    <w:qFormat/>
    <w:pPr>
      <w:pBdr/>
      <w:spacing/>
      <w:ind w:left="720"/>
      <w:contextualSpacing w:val="true"/>
    </w:pPr>
  </w:style>
  <w:style w:type="character" w:styleId="696">
    <w:name w:val="Intense Emphasis"/>
    <w:basedOn w:val="67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697">
    <w:name w:val="Intense Quote"/>
    <w:basedOn w:val="667"/>
    <w:next w:val="667"/>
    <w:link w:val="69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698" w:customStyle="1">
    <w:name w:val="Citação Intensa Char"/>
    <w:basedOn w:val="677"/>
    <w:link w:val="69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699">
    <w:name w:val="Intense Reference"/>
    <w:basedOn w:val="67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00">
    <w:name w:val="Hyperlink"/>
    <w:basedOn w:val="677"/>
    <w:uiPriority w:val="99"/>
    <w:unhideWhenUsed/>
    <w:pPr>
      <w:pBdr/>
      <w:spacing/>
      <w:ind/>
    </w:pPr>
    <w:rPr>
      <w:color w:val="467886" w:themeColor="hyperlink"/>
      <w:u w:val="single"/>
    </w:rPr>
  </w:style>
  <w:style w:type="character" w:styleId="701">
    <w:name w:val="Unresolved Mention"/>
    <w:basedOn w:val="677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customXml" Target="../customXml/item3.xml" /><Relationship Id="rId13" Type="http://schemas.openxmlformats.org/officeDocument/2006/relationships/hyperlink" Target="https://meet.google.com/ios-rtrt-wwo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9b4a3a-bb8f-4f0d-ae00-ee090308b35c">
      <Terms xmlns="http://schemas.microsoft.com/office/infopath/2007/PartnerControls"/>
    </lcf76f155ced4ddcb4097134ff3c332f>
    <TaxCatchAll xmlns="7fe46b00-a4b5-4257-b2e9-0a7c1d8bb2d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C60D1643A50541BE2FD537069BD8BA" ma:contentTypeVersion="18" ma:contentTypeDescription="Crie um novo documento." ma:contentTypeScope="" ma:versionID="666b686cb7ac78c1a12081c95556723b">
  <xsd:schema xmlns:xsd="http://www.w3.org/2001/XMLSchema" xmlns:xs="http://www.w3.org/2001/XMLSchema" xmlns:p="http://schemas.microsoft.com/office/2006/metadata/properties" xmlns:ns2="3c9b4a3a-bb8f-4f0d-ae00-ee090308b35c" xmlns:ns3="7fe46b00-a4b5-4257-b2e9-0a7c1d8bb2d6" targetNamespace="http://schemas.microsoft.com/office/2006/metadata/properties" ma:root="true" ma:fieldsID="d0508bcdd4f5bdd7632d41282f045b8c" ns2:_="" ns3:_="">
    <xsd:import namespace="3c9b4a3a-bb8f-4f0d-ae00-ee090308b35c"/>
    <xsd:import namespace="7fe46b00-a4b5-4257-b2e9-0a7c1d8bb2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b4a3a-bb8f-4f0d-ae00-ee090308b3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a14d42b5-e777-4029-9f24-12a52b6e70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46b00-a4b5-4257-b2e9-0a7c1d8bb2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cf63530-eef6-4911-8baf-282f67330a99}" ma:internalName="TaxCatchAll" ma:showField="CatchAllData" ma:web="7fe46b00-a4b5-4257-b2e9-0a7c1d8bb2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AD714B93-0C07-4DE5-B0E5-BD84CA030196">
  <ds:schemaRefs>
    <ds:schemaRef ds:uri="http://schemas.microsoft.com/office/2006/metadata/properties"/>
    <ds:schemaRef ds:uri="http://schemas.microsoft.com/office/infopath/2007/PartnerControls"/>
    <ds:schemaRef ds:uri="3c9b4a3a-bb8f-4f0d-ae00-ee090308b35c"/>
    <ds:schemaRef ds:uri="7fe46b00-a4b5-4257-b2e9-0a7c1d8bb2d6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847DD107-8865-422E-B3F0-7AA22430B68E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F628CA95-B49A-4880-B50E-451F231A9D45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b4a3a-bb8f-4f0d-ae00-ee090308b35c"/>
    <ds:schemaRef ds:uri="7fe46b00-a4b5-4257-b2e9-0a7c1d8bb2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Roner Fabris</dc:creator>
  <cp:keywords/>
  <dc:description/>
  <cp:revision>23</cp:revision>
  <dcterms:created xsi:type="dcterms:W3CDTF">2026-06-10T14:05:00Z</dcterms:created>
  <dcterms:modified xsi:type="dcterms:W3CDTF">2026-09-17T21:16:27Z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0x010100EBC60D1643A50541BE2FD537069BD8BA</vt:lpwstr>
  </property>
  <property fmtid="{D5CDD505-2E9C-101B-9397-08002B2CF9AE}" pid="3" name="MediaServiceImageTags">
    <vt:lpwstr/>
  </property>
</Properties>
</file>